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24A3" w:rsidRDefault="00000000">
      <w:pPr>
        <w:jc w:val="center"/>
        <w:rPr>
          <w:rFonts w:ascii="Arial" w:eastAsia="Arial" w:hAnsi="Arial" w:cs="Arial"/>
          <w:b/>
          <w:color w:val="000000"/>
        </w:rPr>
      </w:pPr>
      <w:r>
        <w:rPr>
          <w:rFonts w:ascii="Arial" w:eastAsia="Arial" w:hAnsi="Arial" w:cs="Arial"/>
          <w:b/>
        </w:rPr>
        <w:t xml:space="preserve"> WOO</w:t>
      </w:r>
      <w:r>
        <w:rPr>
          <w:rFonts w:ascii="Arial" w:eastAsia="Arial" w:hAnsi="Arial" w:cs="Arial"/>
          <w:b/>
          <w:color w:val="000000"/>
        </w:rPr>
        <w:t>DBERRY DOWN COMMUNITY ORGANISATION</w:t>
      </w:r>
      <w:r>
        <w:rPr>
          <w:noProof/>
        </w:rPr>
        <w:drawing>
          <wp:anchor distT="0" distB="0" distL="0" distR="0" simplePos="0" relativeHeight="251658240" behindDoc="1" locked="0" layoutInCell="1" hidden="0" allowOverlap="1">
            <wp:simplePos x="0" y="0"/>
            <wp:positionH relativeFrom="column">
              <wp:posOffset>-1142993</wp:posOffset>
            </wp:positionH>
            <wp:positionV relativeFrom="paragraph">
              <wp:posOffset>-1985002</wp:posOffset>
            </wp:positionV>
            <wp:extent cx="3036570" cy="422275"/>
            <wp:effectExtent l="0" t="0" r="0" b="0"/>
            <wp:wrapNone/>
            <wp:docPr id="1" name="image1.jpg" descr="HACKNEY LOGO (WORD)"/>
            <wp:cNvGraphicFramePr/>
            <a:graphic xmlns:a="http://schemas.openxmlformats.org/drawingml/2006/main">
              <a:graphicData uri="http://schemas.openxmlformats.org/drawingml/2006/picture">
                <pic:pic xmlns:pic="http://schemas.openxmlformats.org/drawingml/2006/picture">
                  <pic:nvPicPr>
                    <pic:cNvPr id="0" name="image1.jpg" descr="HACKNEY LOGO (WORD)"/>
                    <pic:cNvPicPr preferRelativeResize="0"/>
                  </pic:nvPicPr>
                  <pic:blipFill>
                    <a:blip r:embed="rId6"/>
                    <a:srcRect/>
                    <a:stretch>
                      <a:fillRect/>
                    </a:stretch>
                  </pic:blipFill>
                  <pic:spPr>
                    <a:xfrm>
                      <a:off x="0" y="0"/>
                      <a:ext cx="3036570" cy="422275"/>
                    </a:xfrm>
                    <a:prstGeom prst="rect">
                      <a:avLst/>
                    </a:prstGeom>
                    <a:ln/>
                  </pic:spPr>
                </pic:pic>
              </a:graphicData>
            </a:graphic>
          </wp:anchor>
        </w:drawing>
      </w:r>
    </w:p>
    <w:p w:rsidR="006E24A3" w:rsidRDefault="00000000">
      <w:pPr>
        <w:jc w:val="center"/>
        <w:rPr>
          <w:rFonts w:ascii="Arial" w:eastAsia="Arial" w:hAnsi="Arial" w:cs="Arial"/>
          <w:b/>
          <w:color w:val="000000"/>
        </w:rPr>
      </w:pPr>
      <w:r>
        <w:rPr>
          <w:rFonts w:ascii="Arial" w:eastAsia="Arial" w:hAnsi="Arial" w:cs="Arial"/>
          <w:b/>
          <w:color w:val="000000"/>
        </w:rPr>
        <w:t>LIAISON MEETING WITH PARTNERS</w:t>
      </w:r>
    </w:p>
    <w:p w:rsidR="006E24A3"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b/>
          <w:color w:val="000000"/>
        </w:rPr>
      </w:pPr>
      <w:r>
        <w:rPr>
          <w:rFonts w:ascii="Arial" w:eastAsia="Arial" w:hAnsi="Arial" w:cs="Arial"/>
          <w:b/>
          <w:color w:val="000000"/>
        </w:rPr>
        <w:t>Woodberry Down Community Organisation Liaison Meeting with Partners</w:t>
      </w:r>
    </w:p>
    <w:p w:rsidR="006E24A3"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color w:val="000000"/>
        </w:rPr>
      </w:pPr>
      <w:r>
        <w:rPr>
          <w:rFonts w:ascii="Arial" w:eastAsia="Arial" w:hAnsi="Arial" w:cs="Arial"/>
          <w:color w:val="000000"/>
        </w:rPr>
        <w:t>Tuesday 2</w:t>
      </w:r>
      <w:r>
        <w:rPr>
          <w:rFonts w:ascii="Arial" w:eastAsia="Arial" w:hAnsi="Arial" w:cs="Arial"/>
          <w:color w:val="000000"/>
          <w:vertAlign w:val="superscript"/>
        </w:rPr>
        <w:t>nd</w:t>
      </w:r>
      <w:r>
        <w:rPr>
          <w:rFonts w:ascii="Arial" w:eastAsia="Arial" w:hAnsi="Arial" w:cs="Arial"/>
          <w:color w:val="000000"/>
        </w:rPr>
        <w:t xml:space="preserve"> April 6pm – 7pm </w:t>
      </w:r>
    </w:p>
    <w:p w:rsidR="006E24A3" w:rsidRDefault="006E24A3">
      <w:pPr>
        <w:pBdr>
          <w:top w:val="nil"/>
          <w:left w:val="nil"/>
          <w:bottom w:val="nil"/>
          <w:right w:val="nil"/>
          <w:between w:val="nil"/>
        </w:pBdr>
        <w:ind w:left="1440" w:hanging="1440"/>
        <w:rPr>
          <w:rFonts w:ascii="Arial" w:eastAsia="Arial" w:hAnsi="Arial" w:cs="Arial"/>
          <w:b/>
          <w:color w:val="000000"/>
          <w:sz w:val="22"/>
          <w:szCs w:val="22"/>
        </w:rPr>
      </w:pPr>
    </w:p>
    <w:p w:rsidR="006E24A3" w:rsidRDefault="006E24A3">
      <w:pPr>
        <w:pBdr>
          <w:top w:val="nil"/>
          <w:left w:val="nil"/>
          <w:bottom w:val="nil"/>
          <w:right w:val="nil"/>
          <w:between w:val="nil"/>
        </w:pBdr>
        <w:ind w:left="1440" w:hanging="1440"/>
        <w:rPr>
          <w:rFonts w:ascii="Arial" w:eastAsia="Arial" w:hAnsi="Arial" w:cs="Arial"/>
          <w:b/>
          <w:sz w:val="20"/>
          <w:szCs w:val="20"/>
        </w:rPr>
      </w:pPr>
    </w:p>
    <w:p w:rsidR="006E24A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Residents:  </w:t>
      </w:r>
      <w:r>
        <w:rPr>
          <w:rFonts w:ascii="Arial" w:eastAsia="Arial" w:hAnsi="Arial" w:cs="Arial"/>
          <w:b/>
          <w:color w:val="000000"/>
          <w:sz w:val="20"/>
          <w:szCs w:val="20"/>
        </w:rPr>
        <w:tab/>
      </w:r>
      <w:r>
        <w:rPr>
          <w:rFonts w:ascii="Arial" w:eastAsia="Arial" w:hAnsi="Arial" w:cs="Arial"/>
          <w:color w:val="000000"/>
          <w:sz w:val="20"/>
          <w:szCs w:val="20"/>
        </w:rPr>
        <w:t xml:space="preserve">William Sheehy (WS), Phil Cooke (PC), Leonora Williams (LW), Andrea Anderson (AA), Kalu </w:t>
      </w:r>
      <w:proofErr w:type="spellStart"/>
      <w:r>
        <w:rPr>
          <w:rFonts w:ascii="Arial" w:eastAsia="Arial" w:hAnsi="Arial" w:cs="Arial"/>
          <w:color w:val="000000"/>
          <w:sz w:val="20"/>
          <w:szCs w:val="20"/>
        </w:rPr>
        <w:t>Amogu</w:t>
      </w:r>
      <w:proofErr w:type="spellEnd"/>
      <w:r>
        <w:rPr>
          <w:rFonts w:ascii="Arial" w:eastAsia="Arial" w:hAnsi="Arial" w:cs="Arial"/>
          <w:color w:val="000000"/>
          <w:sz w:val="20"/>
          <w:szCs w:val="20"/>
        </w:rPr>
        <w:t xml:space="preserve"> (KA),</w:t>
      </w:r>
    </w:p>
    <w:p w:rsidR="006E24A3" w:rsidRDefault="006E24A3">
      <w:pPr>
        <w:pBdr>
          <w:top w:val="nil"/>
          <w:left w:val="nil"/>
          <w:bottom w:val="nil"/>
          <w:right w:val="nil"/>
          <w:between w:val="nil"/>
        </w:pBdr>
        <w:ind w:left="1440" w:hanging="1440"/>
        <w:rPr>
          <w:rFonts w:ascii="Arial" w:eastAsia="Arial" w:hAnsi="Arial" w:cs="Arial"/>
          <w:b/>
          <w:color w:val="000000"/>
          <w:sz w:val="20"/>
          <w:szCs w:val="20"/>
        </w:rPr>
      </w:pPr>
    </w:p>
    <w:p w:rsidR="006E24A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Partners:</w:t>
      </w:r>
      <w:r>
        <w:rPr>
          <w:rFonts w:ascii="Arial" w:eastAsia="Arial" w:hAnsi="Arial" w:cs="Arial"/>
          <w:b/>
          <w:color w:val="000000"/>
          <w:sz w:val="20"/>
          <w:szCs w:val="20"/>
        </w:rPr>
        <w:tab/>
      </w:r>
      <w:r>
        <w:rPr>
          <w:rFonts w:ascii="Arial" w:eastAsia="Arial" w:hAnsi="Arial" w:cs="Arial"/>
          <w:color w:val="000000"/>
          <w:sz w:val="20"/>
          <w:szCs w:val="20"/>
        </w:rPr>
        <w:t>Trevor Hughes (TH), Hermione Brightwell (HB), Anthony Green (AG),</w:t>
      </w:r>
    </w:p>
    <w:p w:rsidR="006E24A3" w:rsidRDefault="00000000">
      <w:pPr>
        <w:pBdr>
          <w:top w:val="nil"/>
          <w:left w:val="nil"/>
          <w:bottom w:val="nil"/>
          <w:right w:val="nil"/>
          <w:between w:val="nil"/>
        </w:pBdr>
        <w:tabs>
          <w:tab w:val="left" w:pos="7823"/>
        </w:tabs>
        <w:ind w:left="1440"/>
        <w:rPr>
          <w:rFonts w:ascii="Arial" w:eastAsia="Arial" w:hAnsi="Arial" w:cs="Arial"/>
          <w:color w:val="000000"/>
          <w:sz w:val="20"/>
          <w:szCs w:val="20"/>
        </w:rPr>
      </w:pPr>
      <w:r>
        <w:rPr>
          <w:rFonts w:ascii="Arial" w:eastAsia="Arial" w:hAnsi="Arial" w:cs="Arial"/>
          <w:color w:val="000000"/>
          <w:sz w:val="20"/>
          <w:szCs w:val="20"/>
        </w:rPr>
        <w:tab/>
        <w:t xml:space="preserve"> </w:t>
      </w:r>
    </w:p>
    <w:p w:rsidR="006E24A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Apologies: </w:t>
      </w:r>
      <w:r>
        <w:rPr>
          <w:rFonts w:ascii="Arial" w:eastAsia="Arial" w:hAnsi="Arial" w:cs="Arial"/>
          <w:color w:val="000000"/>
          <w:sz w:val="20"/>
          <w:szCs w:val="20"/>
        </w:rPr>
        <w:t xml:space="preserve">      Jackie Myers (JM), Adrian Essex (AE), Jada Guest (JG),</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ITLA</w:t>
      </w:r>
      <w:r>
        <w:rPr>
          <w:rFonts w:ascii="Arial" w:eastAsia="Arial" w:hAnsi="Arial" w:cs="Arial"/>
          <w:b/>
          <w:color w:val="000000"/>
          <w:sz w:val="20"/>
          <w:szCs w:val="20"/>
        </w:rPr>
        <w:tab/>
      </w:r>
      <w:proofErr w:type="spellStart"/>
      <w:r>
        <w:rPr>
          <w:rFonts w:ascii="Arial" w:eastAsia="Arial" w:hAnsi="Arial" w:cs="Arial"/>
          <w:color w:val="000000"/>
          <w:sz w:val="20"/>
          <w:szCs w:val="20"/>
        </w:rPr>
        <w:t>Roda</w:t>
      </w:r>
      <w:proofErr w:type="spellEnd"/>
      <w:r>
        <w:rPr>
          <w:rFonts w:ascii="Arial" w:eastAsia="Arial" w:hAnsi="Arial" w:cs="Arial"/>
          <w:color w:val="000000"/>
          <w:sz w:val="20"/>
          <w:szCs w:val="20"/>
        </w:rPr>
        <w:t xml:space="preserve"> Hassan (RH), Emre Ozturk (EO) </w:t>
      </w:r>
    </w:p>
    <w:p w:rsidR="006E24A3" w:rsidRDefault="006E24A3">
      <w:pPr>
        <w:pBdr>
          <w:top w:val="nil"/>
          <w:left w:val="nil"/>
          <w:bottom w:val="nil"/>
          <w:right w:val="nil"/>
          <w:between w:val="nil"/>
        </w:pBdr>
        <w:ind w:left="1440" w:hanging="1440"/>
        <w:rPr>
          <w:rFonts w:ascii="Arial" w:eastAsia="Arial" w:hAnsi="Arial" w:cs="Arial"/>
          <w:color w:val="000000"/>
          <w:sz w:val="20"/>
          <w:szCs w:val="20"/>
        </w:rPr>
      </w:pPr>
    </w:p>
    <w:p w:rsidR="006E24A3" w:rsidRDefault="006E24A3">
      <w:pPr>
        <w:rPr>
          <w:rFonts w:ascii="Arial" w:eastAsia="Arial" w:hAnsi="Arial" w:cs="Arial"/>
          <w:sz w:val="20"/>
          <w:szCs w:val="20"/>
        </w:rPr>
      </w:pPr>
    </w:p>
    <w:tbl>
      <w:tblPr>
        <w:tblStyle w:val="a"/>
        <w:tblW w:w="1088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072"/>
        <w:gridCol w:w="963"/>
      </w:tblGrid>
      <w:tr w:rsidR="006E24A3">
        <w:tc>
          <w:tcPr>
            <w:tcW w:w="851" w:type="dxa"/>
          </w:tcPr>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Items </w:t>
            </w:r>
          </w:p>
        </w:tc>
        <w:tc>
          <w:tcPr>
            <w:tcW w:w="9072" w:type="dxa"/>
          </w:tcPr>
          <w:p w:rsidR="006E24A3" w:rsidRDefault="006E24A3">
            <w:pPr>
              <w:pBdr>
                <w:top w:val="nil"/>
                <w:left w:val="nil"/>
                <w:bottom w:val="nil"/>
                <w:right w:val="nil"/>
                <w:between w:val="nil"/>
              </w:pBdr>
              <w:spacing w:after="60"/>
              <w:rPr>
                <w:rFonts w:ascii="Arial" w:eastAsia="Arial" w:hAnsi="Arial" w:cs="Arial"/>
                <w:color w:val="000000"/>
                <w:sz w:val="20"/>
                <w:szCs w:val="20"/>
              </w:rPr>
            </w:pPr>
          </w:p>
        </w:tc>
        <w:tc>
          <w:tcPr>
            <w:tcW w:w="963" w:type="dxa"/>
          </w:tcPr>
          <w:p w:rsidR="006E24A3" w:rsidRDefault="00000000">
            <w:pPr>
              <w:jc w:val="center"/>
              <w:rPr>
                <w:rFonts w:ascii="Arial" w:eastAsia="Arial" w:hAnsi="Arial" w:cs="Arial"/>
                <w:b/>
                <w:color w:val="000000"/>
                <w:sz w:val="20"/>
                <w:szCs w:val="20"/>
              </w:rPr>
            </w:pPr>
            <w:r>
              <w:rPr>
                <w:rFonts w:ascii="Arial" w:eastAsia="Arial" w:hAnsi="Arial" w:cs="Arial"/>
                <w:b/>
                <w:color w:val="000000"/>
                <w:sz w:val="20"/>
                <w:szCs w:val="20"/>
              </w:rPr>
              <w:t>Action</w:t>
            </w:r>
          </w:p>
        </w:tc>
      </w:tr>
      <w:tr w:rsidR="006E24A3">
        <w:tc>
          <w:tcPr>
            <w:tcW w:w="851" w:type="dxa"/>
          </w:tcPr>
          <w:p w:rsidR="006E24A3" w:rsidRDefault="00000000">
            <w:pPr>
              <w:rPr>
                <w:rFonts w:ascii="Arial" w:eastAsia="Arial" w:hAnsi="Arial" w:cs="Arial"/>
                <w:b/>
                <w:color w:val="000000"/>
                <w:sz w:val="20"/>
                <w:szCs w:val="20"/>
              </w:rPr>
            </w:pPr>
            <w:r>
              <w:rPr>
                <w:rFonts w:ascii="Arial" w:eastAsia="Arial" w:hAnsi="Arial" w:cs="Arial"/>
                <w:b/>
                <w:color w:val="000000"/>
                <w:sz w:val="20"/>
                <w:szCs w:val="20"/>
              </w:rPr>
              <w:t>1.0</w:t>
            </w:r>
          </w:p>
        </w:tc>
        <w:tc>
          <w:tcPr>
            <w:tcW w:w="9072" w:type="dxa"/>
          </w:tcPr>
          <w:p w:rsidR="006E24A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Minutes of</w:t>
            </w:r>
            <w:r>
              <w:rPr>
                <w:rFonts w:ascii="Arial" w:eastAsia="Arial" w:hAnsi="Arial" w:cs="Arial"/>
                <w:b/>
                <w:sz w:val="20"/>
                <w:szCs w:val="20"/>
              </w:rPr>
              <w:t xml:space="preserve"> January </w:t>
            </w:r>
            <w:r>
              <w:rPr>
                <w:rFonts w:ascii="Arial" w:eastAsia="Arial" w:hAnsi="Arial" w:cs="Arial"/>
                <w:b/>
                <w:color w:val="000000"/>
                <w:sz w:val="20"/>
                <w:szCs w:val="20"/>
              </w:rPr>
              <w:t>Liaison Meeting</w:t>
            </w:r>
          </w:p>
        </w:tc>
        <w:tc>
          <w:tcPr>
            <w:tcW w:w="963" w:type="dxa"/>
          </w:tcPr>
          <w:p w:rsidR="006E24A3" w:rsidRDefault="006E24A3">
            <w:pPr>
              <w:jc w:val="center"/>
              <w:rPr>
                <w:rFonts w:ascii="Arial" w:eastAsia="Arial" w:hAnsi="Arial" w:cs="Arial"/>
                <w:b/>
                <w:color w:val="000000"/>
                <w:sz w:val="20"/>
                <w:szCs w:val="20"/>
              </w:rPr>
            </w:pPr>
          </w:p>
        </w:tc>
      </w:tr>
      <w:tr w:rsidR="006E24A3">
        <w:tc>
          <w:tcPr>
            <w:tcW w:w="851" w:type="dxa"/>
          </w:tcPr>
          <w:p w:rsidR="006E24A3" w:rsidRDefault="006E24A3">
            <w:pPr>
              <w:rPr>
                <w:rFonts w:ascii="Arial" w:eastAsia="Arial" w:hAnsi="Arial" w:cs="Arial"/>
                <w:b/>
                <w:color w:val="000000"/>
                <w:sz w:val="20"/>
                <w:szCs w:val="20"/>
              </w:rPr>
            </w:pPr>
          </w:p>
        </w:tc>
        <w:tc>
          <w:tcPr>
            <w:tcW w:w="9072" w:type="dxa"/>
          </w:tcPr>
          <w:p w:rsidR="006E24A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The minutes were reviewed for accuracy and agreed. </w:t>
            </w:r>
          </w:p>
        </w:tc>
        <w:tc>
          <w:tcPr>
            <w:tcW w:w="963" w:type="dxa"/>
          </w:tcPr>
          <w:p w:rsidR="006E24A3" w:rsidRDefault="006E24A3">
            <w:pPr>
              <w:jc w:val="center"/>
              <w:rPr>
                <w:rFonts w:ascii="Arial" w:eastAsia="Arial" w:hAnsi="Arial" w:cs="Arial"/>
                <w:b/>
                <w:color w:val="000000"/>
                <w:sz w:val="20"/>
                <w:szCs w:val="20"/>
              </w:rPr>
            </w:pPr>
          </w:p>
        </w:tc>
      </w:tr>
      <w:tr w:rsidR="006E24A3">
        <w:tc>
          <w:tcPr>
            <w:tcW w:w="851" w:type="dxa"/>
          </w:tcPr>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2.0 </w:t>
            </w:r>
          </w:p>
        </w:tc>
        <w:tc>
          <w:tcPr>
            <w:tcW w:w="9072" w:type="dxa"/>
          </w:tcPr>
          <w:p w:rsidR="006E24A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 xml:space="preserve">Matter Arising </w:t>
            </w:r>
          </w:p>
        </w:tc>
        <w:tc>
          <w:tcPr>
            <w:tcW w:w="963" w:type="dxa"/>
          </w:tcPr>
          <w:p w:rsidR="006E24A3" w:rsidRDefault="006E24A3">
            <w:pPr>
              <w:jc w:val="center"/>
              <w:rPr>
                <w:rFonts w:ascii="Arial" w:eastAsia="Arial" w:hAnsi="Arial" w:cs="Arial"/>
                <w:b/>
                <w:color w:val="000000"/>
                <w:sz w:val="20"/>
                <w:szCs w:val="20"/>
              </w:rPr>
            </w:pPr>
          </w:p>
        </w:tc>
      </w:tr>
      <w:tr w:rsidR="006E24A3">
        <w:tc>
          <w:tcPr>
            <w:tcW w:w="851" w:type="dxa"/>
          </w:tcPr>
          <w:p w:rsidR="006E24A3" w:rsidRDefault="006E24A3">
            <w:pPr>
              <w:rPr>
                <w:rFonts w:ascii="Arial" w:eastAsia="Arial" w:hAnsi="Arial" w:cs="Arial"/>
                <w:b/>
                <w:color w:val="000000"/>
                <w:sz w:val="20"/>
                <w:szCs w:val="20"/>
              </w:rPr>
            </w:pPr>
          </w:p>
        </w:tc>
        <w:tc>
          <w:tcPr>
            <w:tcW w:w="9072" w:type="dxa"/>
          </w:tcPr>
          <w:p w:rsidR="006E24A3" w:rsidRDefault="00000000">
            <w:pPr>
              <w:spacing w:after="60"/>
              <w:rPr>
                <w:rFonts w:ascii="Arial" w:eastAsia="Arial" w:hAnsi="Arial" w:cs="Arial"/>
                <w:sz w:val="20"/>
                <w:szCs w:val="20"/>
              </w:rPr>
            </w:pPr>
            <w:r>
              <w:rPr>
                <w:rFonts w:ascii="Arial" w:eastAsia="Arial" w:hAnsi="Arial" w:cs="Arial"/>
                <w:sz w:val="20"/>
                <w:szCs w:val="20"/>
              </w:rPr>
              <w:t>JG shared the report on 5</w:t>
            </w:r>
            <w:r>
              <w:rPr>
                <w:rFonts w:ascii="Arial" w:eastAsia="Arial" w:hAnsi="Arial" w:cs="Arial"/>
                <w:sz w:val="20"/>
                <w:szCs w:val="20"/>
                <w:vertAlign w:val="superscript"/>
              </w:rPr>
              <w:t>th</w:t>
            </w:r>
            <w:r>
              <w:rPr>
                <w:rFonts w:ascii="Arial" w:eastAsia="Arial" w:hAnsi="Arial" w:cs="Arial"/>
                <w:sz w:val="20"/>
                <w:szCs w:val="20"/>
              </w:rPr>
              <w:t xml:space="preserve"> March concerning a blockage in the car park at </w:t>
            </w:r>
            <w:proofErr w:type="spellStart"/>
            <w:r>
              <w:rPr>
                <w:rFonts w:ascii="Arial" w:eastAsia="Arial" w:hAnsi="Arial" w:cs="Arial"/>
                <w:sz w:val="20"/>
                <w:szCs w:val="20"/>
              </w:rPr>
              <w:t>Ashview</w:t>
            </w:r>
            <w:proofErr w:type="spellEnd"/>
            <w:r>
              <w:rPr>
                <w:rFonts w:ascii="Arial" w:eastAsia="Arial" w:hAnsi="Arial" w:cs="Arial"/>
                <w:sz w:val="20"/>
                <w:szCs w:val="20"/>
              </w:rPr>
              <w:t>, which resulted in flooding.</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 xml:space="preserve">NHG conducted a Vital Energy drop-in session at the beginning of March, attracting a significant turnout of over 65 residents. </w:t>
            </w:r>
            <w:r w:rsidR="00AE6D85">
              <w:rPr>
                <w:rFonts w:ascii="Arial" w:eastAsia="Arial" w:hAnsi="Arial" w:cs="Arial"/>
                <w:sz w:val="20"/>
                <w:szCs w:val="20"/>
              </w:rPr>
              <w:t xml:space="preserve">The </w:t>
            </w:r>
            <w:r>
              <w:rPr>
                <w:rFonts w:ascii="Arial" w:eastAsia="Arial" w:hAnsi="Arial" w:cs="Arial"/>
                <w:sz w:val="20"/>
                <w:szCs w:val="20"/>
              </w:rPr>
              <w:t xml:space="preserve">session addressed </w:t>
            </w:r>
            <w:r w:rsidR="00AE6D85">
              <w:rPr>
                <w:rFonts w:ascii="Arial" w:eastAsia="Arial" w:hAnsi="Arial" w:cs="Arial"/>
                <w:sz w:val="20"/>
                <w:szCs w:val="20"/>
              </w:rPr>
              <w:t xml:space="preserve">residents’ </w:t>
            </w:r>
            <w:r>
              <w:rPr>
                <w:rFonts w:ascii="Arial" w:eastAsia="Arial" w:hAnsi="Arial" w:cs="Arial"/>
                <w:sz w:val="20"/>
                <w:szCs w:val="20"/>
              </w:rPr>
              <w:t>concerns about tariff cha</w:t>
            </w:r>
            <w:r w:rsidR="00AE6D85">
              <w:rPr>
                <w:rFonts w:ascii="Arial" w:eastAsia="Arial" w:hAnsi="Arial" w:cs="Arial"/>
                <w:sz w:val="20"/>
                <w:szCs w:val="20"/>
              </w:rPr>
              <w:t>r</w:t>
            </w:r>
            <w:r>
              <w:rPr>
                <w:rFonts w:ascii="Arial" w:eastAsia="Arial" w:hAnsi="Arial" w:cs="Arial"/>
                <w:sz w:val="20"/>
                <w:szCs w:val="20"/>
              </w:rPr>
              <w:t>ges</w:t>
            </w:r>
            <w:r w:rsidR="00AE6D85">
              <w:rPr>
                <w:rFonts w:ascii="Arial" w:eastAsia="Arial" w:hAnsi="Arial" w:cs="Arial"/>
                <w:sz w:val="20"/>
                <w:szCs w:val="20"/>
              </w:rPr>
              <w:t xml:space="preserve">, estimated bill and other heat issues. </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RH expressed concern about the lack of information regarding tariff charges from NHG. She emphasised the need for this information to properly advise residents during ITLA drop-in sessions. Currently, advice is based on assumptions rather than confirmed details. JG followed up with the Heat Network team to obtain updates on tariff charges and other details required for an FAQ, which will be circulated to residents.</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 xml:space="preserve">The timber decking on balconies at Rowan and Hornbeam was discussed, </w:t>
            </w:r>
            <w:r w:rsidR="00AE6D85">
              <w:rPr>
                <w:rFonts w:ascii="Arial" w:eastAsia="Arial" w:hAnsi="Arial" w:cs="Arial"/>
                <w:sz w:val="20"/>
                <w:szCs w:val="20"/>
              </w:rPr>
              <w:t>AG</w:t>
            </w:r>
            <w:r>
              <w:rPr>
                <w:rFonts w:ascii="Arial" w:eastAsia="Arial" w:hAnsi="Arial" w:cs="Arial"/>
                <w:sz w:val="20"/>
                <w:szCs w:val="20"/>
              </w:rPr>
              <w:t xml:space="preserve"> report</w:t>
            </w:r>
            <w:r w:rsidR="00AE6D85">
              <w:rPr>
                <w:rFonts w:ascii="Arial" w:eastAsia="Arial" w:hAnsi="Arial" w:cs="Arial"/>
                <w:sz w:val="20"/>
                <w:szCs w:val="20"/>
              </w:rPr>
              <w:t xml:space="preserve">ed </w:t>
            </w:r>
            <w:r>
              <w:rPr>
                <w:rFonts w:ascii="Arial" w:eastAsia="Arial" w:hAnsi="Arial" w:cs="Arial"/>
                <w:sz w:val="20"/>
                <w:szCs w:val="20"/>
              </w:rPr>
              <w:t>that Hornbeam Apartments has now been added to the 2024-25 program for replacement.</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TH reported that efforts were made to schedule Phase 3 site visits to coincide with a potential 15-year event on 5</w:t>
            </w:r>
            <w:r>
              <w:rPr>
                <w:rFonts w:ascii="Arial" w:eastAsia="Arial" w:hAnsi="Arial" w:cs="Arial"/>
                <w:sz w:val="20"/>
                <w:szCs w:val="20"/>
                <w:vertAlign w:val="superscript"/>
              </w:rPr>
              <w:t>th</w:t>
            </w:r>
            <w:r>
              <w:rPr>
                <w:rFonts w:ascii="Arial" w:eastAsia="Arial" w:hAnsi="Arial" w:cs="Arial"/>
                <w:sz w:val="20"/>
                <w:szCs w:val="20"/>
              </w:rPr>
              <w:t xml:space="preserve"> June, pending confirmation from the </w:t>
            </w:r>
            <w:proofErr w:type="gramStart"/>
            <w:r>
              <w:rPr>
                <w:rFonts w:ascii="Arial" w:eastAsia="Arial" w:hAnsi="Arial" w:cs="Arial"/>
                <w:sz w:val="20"/>
                <w:szCs w:val="20"/>
              </w:rPr>
              <w:t>Mayor</w:t>
            </w:r>
            <w:proofErr w:type="gramEnd"/>
            <w:r>
              <w:rPr>
                <w:rFonts w:ascii="Arial" w:eastAsia="Arial" w:hAnsi="Arial" w:cs="Arial"/>
                <w:sz w:val="20"/>
                <w:szCs w:val="20"/>
              </w:rPr>
              <w:t>.</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 xml:space="preserve">TH provided updates on the replacement of </w:t>
            </w:r>
            <w:r w:rsidR="00AE6D85">
              <w:rPr>
                <w:rFonts w:ascii="Arial" w:eastAsia="Arial" w:hAnsi="Arial" w:cs="Arial"/>
                <w:sz w:val="20"/>
                <w:szCs w:val="20"/>
              </w:rPr>
              <w:t xml:space="preserve">bubbling </w:t>
            </w:r>
            <w:r>
              <w:rPr>
                <w:rFonts w:ascii="Arial" w:eastAsia="Arial" w:hAnsi="Arial" w:cs="Arial"/>
                <w:sz w:val="20"/>
                <w:szCs w:val="20"/>
              </w:rPr>
              <w:t>glass, noting that the majority had been replaced, with a few remaining pieces awaiting delivery.</w:t>
            </w:r>
          </w:p>
          <w:p w:rsidR="006E24A3" w:rsidRDefault="006E24A3">
            <w:pPr>
              <w:spacing w:after="60"/>
              <w:rPr>
                <w:rFonts w:ascii="Arial" w:eastAsia="Arial" w:hAnsi="Arial" w:cs="Arial"/>
                <w:sz w:val="20"/>
                <w:szCs w:val="20"/>
              </w:rPr>
            </w:pPr>
          </w:p>
          <w:p w:rsidR="006E24A3" w:rsidRDefault="00000000">
            <w:pPr>
              <w:spacing w:after="60"/>
              <w:rPr>
                <w:rFonts w:ascii="Arial" w:eastAsia="Arial" w:hAnsi="Arial" w:cs="Arial"/>
                <w:sz w:val="20"/>
                <w:szCs w:val="20"/>
              </w:rPr>
            </w:pPr>
            <w:r>
              <w:rPr>
                <w:rFonts w:ascii="Arial" w:eastAsia="Arial" w:hAnsi="Arial" w:cs="Arial"/>
                <w:sz w:val="20"/>
                <w:szCs w:val="20"/>
              </w:rPr>
              <w:t>Regarding inquiries about the closure of Stoke Newington Library and Stamford Hill Library, including concerns about expenditure and resources for redirected visitors, HB agreed to follow up on inquiries about redirected visitors and library resourcing.</w:t>
            </w:r>
          </w:p>
        </w:tc>
        <w:tc>
          <w:tcPr>
            <w:tcW w:w="963" w:type="dxa"/>
          </w:tcPr>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NHG</w:t>
            </w: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000000">
            <w:pPr>
              <w:rPr>
                <w:rFonts w:ascii="Arial" w:eastAsia="Arial" w:hAnsi="Arial" w:cs="Arial"/>
                <w:b/>
                <w:color w:val="000000"/>
                <w:sz w:val="20"/>
                <w:szCs w:val="20"/>
              </w:rPr>
            </w:pPr>
            <w:r>
              <w:rPr>
                <w:rFonts w:ascii="Arial" w:eastAsia="Arial" w:hAnsi="Arial" w:cs="Arial"/>
                <w:b/>
                <w:sz w:val="20"/>
                <w:szCs w:val="20"/>
              </w:rPr>
              <w:t>LBH</w:t>
            </w:r>
          </w:p>
          <w:p w:rsidR="006E24A3" w:rsidRDefault="006E24A3">
            <w:pPr>
              <w:rPr>
                <w:rFonts w:ascii="Arial" w:eastAsia="Arial" w:hAnsi="Arial" w:cs="Arial"/>
                <w:b/>
                <w:color w:val="000000"/>
                <w:sz w:val="20"/>
                <w:szCs w:val="20"/>
              </w:rPr>
            </w:pPr>
          </w:p>
        </w:tc>
      </w:tr>
      <w:tr w:rsidR="006E24A3">
        <w:trPr>
          <w:trHeight w:val="57"/>
        </w:trPr>
        <w:tc>
          <w:tcPr>
            <w:tcW w:w="851" w:type="dxa"/>
          </w:tcPr>
          <w:p w:rsidR="006E24A3" w:rsidRDefault="00000000">
            <w:pPr>
              <w:rPr>
                <w:rFonts w:ascii="Arial" w:eastAsia="Arial" w:hAnsi="Arial" w:cs="Arial"/>
                <w:b/>
                <w:color w:val="000000"/>
                <w:sz w:val="20"/>
                <w:szCs w:val="20"/>
              </w:rPr>
            </w:pPr>
            <w:r>
              <w:rPr>
                <w:rFonts w:ascii="Arial" w:eastAsia="Arial" w:hAnsi="Arial" w:cs="Arial"/>
                <w:b/>
                <w:sz w:val="20"/>
                <w:szCs w:val="20"/>
              </w:rPr>
              <w:t>3</w:t>
            </w:r>
            <w:r>
              <w:rPr>
                <w:rFonts w:ascii="Arial" w:eastAsia="Arial" w:hAnsi="Arial" w:cs="Arial"/>
                <w:b/>
                <w:color w:val="000000"/>
                <w:sz w:val="20"/>
                <w:szCs w:val="20"/>
              </w:rPr>
              <w:t>.0</w:t>
            </w:r>
          </w:p>
        </w:tc>
        <w:tc>
          <w:tcPr>
            <w:tcW w:w="9072" w:type="dxa"/>
          </w:tcPr>
          <w:p w:rsidR="006E24A3" w:rsidRDefault="00000000">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Action tracker </w:t>
            </w:r>
          </w:p>
        </w:tc>
        <w:tc>
          <w:tcPr>
            <w:tcW w:w="963" w:type="dxa"/>
          </w:tcPr>
          <w:p w:rsidR="006E24A3" w:rsidRDefault="006E24A3">
            <w:pPr>
              <w:jc w:val="center"/>
              <w:rPr>
                <w:rFonts w:ascii="Arial" w:eastAsia="Arial" w:hAnsi="Arial" w:cs="Arial"/>
                <w:b/>
                <w:color w:val="000000"/>
                <w:sz w:val="20"/>
                <w:szCs w:val="20"/>
              </w:rPr>
            </w:pPr>
          </w:p>
        </w:tc>
      </w:tr>
      <w:tr w:rsidR="006E24A3">
        <w:trPr>
          <w:trHeight w:val="57"/>
        </w:trPr>
        <w:tc>
          <w:tcPr>
            <w:tcW w:w="851" w:type="dxa"/>
          </w:tcPr>
          <w:p w:rsidR="006E24A3" w:rsidRDefault="006E24A3">
            <w:pPr>
              <w:rPr>
                <w:rFonts w:ascii="Arial" w:eastAsia="Arial" w:hAnsi="Arial" w:cs="Arial"/>
                <w:b/>
                <w:sz w:val="20"/>
                <w:szCs w:val="20"/>
              </w:rPr>
            </w:pPr>
          </w:p>
        </w:tc>
        <w:tc>
          <w:tcPr>
            <w:tcW w:w="9072" w:type="dxa"/>
          </w:tcPr>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RH addressed open items on the action tracker, particularly highlighting the window report, service charge, and out-of-phase split households.  </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Window report:</w:t>
            </w:r>
            <w:r>
              <w:rPr>
                <w:rFonts w:ascii="Arial" w:eastAsia="Arial" w:hAnsi="Arial" w:cs="Arial"/>
                <w:color w:val="000000"/>
                <w:sz w:val="20"/>
                <w:szCs w:val="20"/>
              </w:rPr>
              <w:t xml:space="preserve"> TH mention</w:t>
            </w:r>
            <w:r w:rsidR="00AE6D85">
              <w:rPr>
                <w:rFonts w:ascii="Arial" w:eastAsia="Arial" w:hAnsi="Arial" w:cs="Arial"/>
                <w:color w:val="000000"/>
                <w:sz w:val="20"/>
                <w:szCs w:val="20"/>
              </w:rPr>
              <w:t>ed</w:t>
            </w:r>
            <w:r>
              <w:rPr>
                <w:rFonts w:ascii="Arial" w:eastAsia="Arial" w:hAnsi="Arial" w:cs="Arial"/>
                <w:color w:val="000000"/>
                <w:sz w:val="20"/>
                <w:szCs w:val="20"/>
              </w:rPr>
              <w:t xml:space="preserve"> the pending update regarding the window report from the specialist consultant and their group legal. </w:t>
            </w:r>
            <w:r>
              <w:rPr>
                <w:rFonts w:ascii="Arial" w:eastAsia="Arial" w:hAnsi="Arial" w:cs="Arial"/>
                <w:sz w:val="20"/>
                <w:szCs w:val="20"/>
              </w:rPr>
              <w:t xml:space="preserve">TH </w:t>
            </w:r>
            <w:r>
              <w:rPr>
                <w:rFonts w:ascii="Arial" w:eastAsia="Arial" w:hAnsi="Arial" w:cs="Arial"/>
                <w:color w:val="000000"/>
                <w:sz w:val="20"/>
                <w:szCs w:val="20"/>
              </w:rPr>
              <w:t>anticipated progress on this matter during the week, particularly focusing on a remedial strategy agreement for entering the apartments in KSS1 for any necessary improvement works. He reiterated his commitment to sharing updates as soon as they are available.</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WS queried if similar windows had been used in Phase 3, to which TH confirmed they hadn't. </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Service charge:</w:t>
            </w:r>
            <w:r>
              <w:rPr>
                <w:rFonts w:ascii="Arial" w:eastAsia="Arial" w:hAnsi="Arial" w:cs="Arial"/>
                <w:color w:val="000000"/>
                <w:sz w:val="20"/>
                <w:szCs w:val="20"/>
              </w:rPr>
              <w:t xml:space="preserve"> A</w:t>
            </w:r>
            <w:r>
              <w:rPr>
                <w:rFonts w:ascii="Arial" w:eastAsia="Arial" w:hAnsi="Arial" w:cs="Arial"/>
                <w:sz w:val="20"/>
                <w:szCs w:val="20"/>
              </w:rPr>
              <w:t xml:space="preserve">G </w:t>
            </w:r>
            <w:r>
              <w:rPr>
                <w:rFonts w:ascii="Arial" w:eastAsia="Arial" w:hAnsi="Arial" w:cs="Arial"/>
                <w:color w:val="000000"/>
                <w:sz w:val="20"/>
                <w:szCs w:val="20"/>
              </w:rPr>
              <w:t>provided update</w:t>
            </w:r>
            <w:r w:rsidR="00AE6D85">
              <w:rPr>
                <w:rFonts w:ascii="Arial" w:eastAsia="Arial" w:hAnsi="Arial" w:cs="Arial"/>
                <w:color w:val="000000"/>
                <w:sz w:val="20"/>
                <w:szCs w:val="20"/>
              </w:rPr>
              <w:t xml:space="preserve"> that the </w:t>
            </w:r>
            <w:r>
              <w:rPr>
                <w:rFonts w:ascii="Arial" w:eastAsia="Arial" w:hAnsi="Arial" w:cs="Arial"/>
                <w:color w:val="000000"/>
                <w:sz w:val="20"/>
                <w:szCs w:val="20"/>
              </w:rPr>
              <w:t xml:space="preserve">service charge </w:t>
            </w:r>
            <w:r w:rsidR="00AE6D85">
              <w:rPr>
                <w:rFonts w:ascii="Arial" w:eastAsia="Arial" w:hAnsi="Arial" w:cs="Arial"/>
                <w:color w:val="000000"/>
                <w:sz w:val="20"/>
                <w:szCs w:val="20"/>
              </w:rPr>
              <w:t>review of the</w:t>
            </w:r>
            <w:r>
              <w:rPr>
                <w:rFonts w:ascii="Arial" w:eastAsia="Arial" w:hAnsi="Arial" w:cs="Arial"/>
                <w:color w:val="000000"/>
                <w:sz w:val="20"/>
                <w:szCs w:val="20"/>
              </w:rPr>
              <w:t xml:space="preserve"> 2020</w:t>
            </w:r>
            <w:r>
              <w:rPr>
                <w:rFonts w:ascii="Arial" w:eastAsia="Arial" w:hAnsi="Arial" w:cs="Arial"/>
                <w:sz w:val="20"/>
                <w:szCs w:val="20"/>
              </w:rPr>
              <w:t xml:space="preserve"> - </w:t>
            </w:r>
            <w:r>
              <w:rPr>
                <w:rFonts w:ascii="Arial" w:eastAsia="Arial" w:hAnsi="Arial" w:cs="Arial"/>
                <w:color w:val="000000"/>
                <w:sz w:val="20"/>
                <w:szCs w:val="20"/>
              </w:rPr>
              <w:t>2021,</w:t>
            </w:r>
            <w:r>
              <w:rPr>
                <w:rFonts w:ascii="Arial" w:eastAsia="Arial" w:hAnsi="Arial" w:cs="Arial"/>
                <w:sz w:val="20"/>
                <w:szCs w:val="20"/>
              </w:rPr>
              <w:t xml:space="preserve"> 2021 -</w:t>
            </w:r>
            <w:r>
              <w:rPr>
                <w:rFonts w:ascii="Arial" w:eastAsia="Arial" w:hAnsi="Arial" w:cs="Arial"/>
                <w:color w:val="000000"/>
                <w:sz w:val="20"/>
                <w:szCs w:val="20"/>
              </w:rPr>
              <w:t xml:space="preserve"> 2022, and 2</w:t>
            </w:r>
            <w:r>
              <w:rPr>
                <w:rFonts w:ascii="Arial" w:eastAsia="Arial" w:hAnsi="Arial" w:cs="Arial"/>
                <w:sz w:val="20"/>
                <w:szCs w:val="20"/>
              </w:rPr>
              <w:t>022-</w:t>
            </w:r>
            <w:r>
              <w:rPr>
                <w:rFonts w:ascii="Arial" w:eastAsia="Arial" w:hAnsi="Arial" w:cs="Arial"/>
                <w:color w:val="000000"/>
                <w:sz w:val="20"/>
                <w:szCs w:val="20"/>
              </w:rPr>
              <w:t xml:space="preserve"> 2023</w:t>
            </w:r>
            <w:r w:rsidR="00AE6D85">
              <w:rPr>
                <w:rFonts w:ascii="Arial" w:eastAsia="Arial" w:hAnsi="Arial" w:cs="Arial"/>
                <w:color w:val="000000"/>
                <w:sz w:val="20"/>
                <w:szCs w:val="20"/>
              </w:rPr>
              <w:t xml:space="preserve">. </w:t>
            </w:r>
            <w:r>
              <w:rPr>
                <w:rFonts w:ascii="Arial" w:eastAsia="Arial" w:hAnsi="Arial" w:cs="Arial"/>
                <w:color w:val="000000"/>
                <w:sz w:val="20"/>
                <w:szCs w:val="20"/>
              </w:rPr>
              <w:t>NHG commitments to sharing timelines for publishing the actuals.</w:t>
            </w: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br/>
            </w:r>
            <w:r>
              <w:rPr>
                <w:rFonts w:ascii="Arial" w:eastAsia="Arial" w:hAnsi="Arial" w:cs="Arial"/>
                <w:b/>
                <w:color w:val="000000"/>
                <w:sz w:val="20"/>
                <w:szCs w:val="20"/>
              </w:rPr>
              <w:t>Out of phase split household:</w:t>
            </w:r>
            <w:r>
              <w:rPr>
                <w:rFonts w:ascii="Arial" w:eastAsia="Arial" w:hAnsi="Arial" w:cs="Arial"/>
                <w:color w:val="000000"/>
                <w:sz w:val="20"/>
                <w:szCs w:val="20"/>
              </w:rPr>
              <w:t xml:space="preserve"> During the meeting, R</w:t>
            </w:r>
            <w:r>
              <w:rPr>
                <w:rFonts w:ascii="Arial" w:eastAsia="Arial" w:hAnsi="Arial" w:cs="Arial"/>
                <w:sz w:val="20"/>
                <w:szCs w:val="20"/>
              </w:rPr>
              <w:t>H</w:t>
            </w:r>
            <w:r>
              <w:rPr>
                <w:rFonts w:ascii="Arial" w:eastAsia="Arial" w:hAnsi="Arial" w:cs="Arial"/>
                <w:color w:val="000000"/>
                <w:sz w:val="20"/>
                <w:szCs w:val="20"/>
              </w:rPr>
              <w:t xml:space="preserve"> highlighted the ongoing issue regarding the out-of-place household, which has been </w:t>
            </w:r>
            <w:r>
              <w:rPr>
                <w:rFonts w:ascii="Arial" w:eastAsia="Arial" w:hAnsi="Arial" w:cs="Arial"/>
                <w:sz w:val="20"/>
                <w:szCs w:val="20"/>
              </w:rPr>
              <w:t>raised both</w:t>
            </w:r>
            <w:r>
              <w:rPr>
                <w:rFonts w:ascii="Arial" w:eastAsia="Arial" w:hAnsi="Arial" w:cs="Arial"/>
                <w:color w:val="000000"/>
                <w:sz w:val="20"/>
                <w:szCs w:val="20"/>
              </w:rPr>
              <w:t xml:space="preserve"> at the board meetings and roundtable discussions. </w:t>
            </w:r>
            <w:r>
              <w:rPr>
                <w:rFonts w:ascii="Arial" w:eastAsia="Arial" w:hAnsi="Arial" w:cs="Arial"/>
                <w:sz w:val="20"/>
                <w:szCs w:val="20"/>
              </w:rPr>
              <w:t>WDC have</w:t>
            </w:r>
            <w:r>
              <w:rPr>
                <w:rFonts w:ascii="Arial" w:eastAsia="Arial" w:hAnsi="Arial" w:cs="Arial"/>
                <w:color w:val="000000"/>
                <w:sz w:val="20"/>
                <w:szCs w:val="20"/>
              </w:rPr>
              <w:t xml:space="preserve"> expressed concern about the lack of progress and the repeated nature of the updates provided.</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In response, H</w:t>
            </w:r>
            <w:r>
              <w:rPr>
                <w:rFonts w:ascii="Arial" w:eastAsia="Arial" w:hAnsi="Arial" w:cs="Arial"/>
                <w:sz w:val="20"/>
                <w:szCs w:val="20"/>
              </w:rPr>
              <w:t>B</w:t>
            </w:r>
            <w:r>
              <w:rPr>
                <w:rFonts w:ascii="Arial" w:eastAsia="Arial" w:hAnsi="Arial" w:cs="Arial"/>
                <w:color w:val="000000"/>
                <w:sz w:val="20"/>
                <w:szCs w:val="20"/>
              </w:rPr>
              <w:t xml:space="preserve"> provided insight into the complexity of the situation, mentioning ongoing internal meetings within Hackney to address the issue. She mentioned </w:t>
            </w:r>
            <w:r>
              <w:rPr>
                <w:rFonts w:ascii="Arial" w:eastAsia="Arial" w:hAnsi="Arial" w:cs="Arial"/>
                <w:sz w:val="20"/>
                <w:szCs w:val="20"/>
              </w:rPr>
              <w:t xml:space="preserve">an upcoming </w:t>
            </w:r>
            <w:r>
              <w:rPr>
                <w:rFonts w:ascii="Arial" w:eastAsia="Arial" w:hAnsi="Arial" w:cs="Arial"/>
                <w:color w:val="000000"/>
                <w:sz w:val="20"/>
                <w:szCs w:val="20"/>
              </w:rPr>
              <w:t>high-level meeting and the preparation of detailed notes, with draft recommendations expected by April or May. H</w:t>
            </w:r>
            <w:r>
              <w:rPr>
                <w:rFonts w:ascii="Arial" w:eastAsia="Arial" w:hAnsi="Arial" w:cs="Arial"/>
                <w:sz w:val="20"/>
                <w:szCs w:val="20"/>
              </w:rPr>
              <w:t xml:space="preserve">B </w:t>
            </w:r>
            <w:r>
              <w:rPr>
                <w:rFonts w:ascii="Arial" w:eastAsia="Arial" w:hAnsi="Arial" w:cs="Arial"/>
                <w:color w:val="000000"/>
                <w:sz w:val="20"/>
                <w:szCs w:val="20"/>
              </w:rPr>
              <w:t>acknowledged the frustration caused by the prolonged discussions without visible outcomes. She also provided an update regarding the timeline discussed at the roundtable last week. She clarified that while recommendations would be available by April or May, the actual reports might be available slightly later. HB committed to confirming the timing for the reports.</w:t>
            </w:r>
          </w:p>
        </w:tc>
        <w:tc>
          <w:tcPr>
            <w:tcW w:w="963" w:type="dxa"/>
          </w:tcPr>
          <w:p w:rsidR="006E24A3" w:rsidRDefault="006E24A3">
            <w:pPr>
              <w:jc w:val="center"/>
              <w:rPr>
                <w:rFonts w:ascii="Arial" w:eastAsia="Arial" w:hAnsi="Arial" w:cs="Arial"/>
                <w:b/>
                <w:color w:val="000000"/>
                <w:sz w:val="20"/>
                <w:szCs w:val="20"/>
              </w:rPr>
            </w:pPr>
          </w:p>
          <w:p w:rsidR="006E24A3" w:rsidRDefault="006E24A3">
            <w:pPr>
              <w:jc w:val="center"/>
              <w:rPr>
                <w:rFonts w:ascii="Arial" w:eastAsia="Arial" w:hAnsi="Arial" w:cs="Arial"/>
                <w:b/>
                <w:color w:val="000000"/>
                <w:sz w:val="20"/>
                <w:szCs w:val="20"/>
              </w:rPr>
            </w:pPr>
          </w:p>
          <w:p w:rsidR="006E24A3" w:rsidRDefault="006E24A3">
            <w:pPr>
              <w:jc w:val="cente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BH </w:t>
            </w: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NHG </w:t>
            </w: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LBH</w:t>
            </w:r>
          </w:p>
          <w:p w:rsidR="006E24A3" w:rsidRDefault="006E24A3">
            <w:pPr>
              <w:rPr>
                <w:rFonts w:ascii="Arial" w:eastAsia="Arial" w:hAnsi="Arial" w:cs="Arial"/>
                <w:b/>
                <w:color w:val="000000"/>
                <w:sz w:val="20"/>
                <w:szCs w:val="20"/>
              </w:rPr>
            </w:pPr>
          </w:p>
        </w:tc>
      </w:tr>
      <w:tr w:rsidR="006E24A3">
        <w:trPr>
          <w:trHeight w:val="244"/>
        </w:trPr>
        <w:tc>
          <w:tcPr>
            <w:tcW w:w="851" w:type="dxa"/>
          </w:tcPr>
          <w:p w:rsidR="006E24A3" w:rsidRDefault="00000000">
            <w:pPr>
              <w:rPr>
                <w:rFonts w:ascii="Arial" w:eastAsia="Arial" w:hAnsi="Arial" w:cs="Arial"/>
                <w:b/>
                <w:color w:val="000000"/>
                <w:sz w:val="20"/>
                <w:szCs w:val="20"/>
              </w:rPr>
            </w:pPr>
            <w:r>
              <w:rPr>
                <w:rFonts w:ascii="Arial" w:eastAsia="Arial" w:hAnsi="Arial" w:cs="Arial"/>
                <w:b/>
                <w:sz w:val="20"/>
                <w:szCs w:val="20"/>
              </w:rPr>
              <w:lastRenderedPageBreak/>
              <w:t>4</w:t>
            </w:r>
            <w:r>
              <w:rPr>
                <w:rFonts w:ascii="Arial" w:eastAsia="Arial" w:hAnsi="Arial" w:cs="Arial"/>
                <w:b/>
                <w:color w:val="000000"/>
                <w:sz w:val="20"/>
                <w:szCs w:val="20"/>
              </w:rPr>
              <w:t xml:space="preserve">.0 </w:t>
            </w:r>
          </w:p>
        </w:tc>
        <w:tc>
          <w:tcPr>
            <w:tcW w:w="9072" w:type="dxa"/>
          </w:tcPr>
          <w:p w:rsidR="006E24A3" w:rsidRDefault="00000000">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Preparation for </w:t>
            </w:r>
            <w:r>
              <w:rPr>
                <w:rFonts w:ascii="Arial" w:eastAsia="Arial" w:hAnsi="Arial" w:cs="Arial"/>
                <w:b/>
                <w:sz w:val="20"/>
                <w:szCs w:val="20"/>
              </w:rPr>
              <w:t>February</w:t>
            </w:r>
            <w:r>
              <w:rPr>
                <w:rFonts w:ascii="Arial" w:eastAsia="Arial" w:hAnsi="Arial" w:cs="Arial"/>
                <w:b/>
                <w:color w:val="000000"/>
                <w:sz w:val="20"/>
                <w:szCs w:val="20"/>
              </w:rPr>
              <w:t xml:space="preserve"> Board</w:t>
            </w:r>
          </w:p>
        </w:tc>
        <w:tc>
          <w:tcPr>
            <w:tcW w:w="963" w:type="dxa"/>
          </w:tcPr>
          <w:p w:rsidR="006E24A3" w:rsidRDefault="006E24A3">
            <w:pPr>
              <w:jc w:val="center"/>
              <w:rPr>
                <w:rFonts w:ascii="Arial" w:eastAsia="Arial" w:hAnsi="Arial" w:cs="Arial"/>
                <w:b/>
                <w:color w:val="000000"/>
                <w:sz w:val="20"/>
                <w:szCs w:val="20"/>
              </w:rPr>
            </w:pPr>
          </w:p>
        </w:tc>
      </w:tr>
      <w:tr w:rsidR="006E24A3">
        <w:trPr>
          <w:trHeight w:val="1049"/>
        </w:trPr>
        <w:tc>
          <w:tcPr>
            <w:tcW w:w="851" w:type="dxa"/>
          </w:tcPr>
          <w:p w:rsidR="006E24A3" w:rsidRDefault="006E24A3">
            <w:pPr>
              <w:rPr>
                <w:rFonts w:ascii="Arial" w:eastAsia="Arial" w:hAnsi="Arial" w:cs="Arial"/>
                <w:b/>
                <w:color w:val="000000"/>
                <w:sz w:val="20"/>
                <w:szCs w:val="20"/>
              </w:rPr>
            </w:pPr>
          </w:p>
        </w:tc>
        <w:tc>
          <w:tcPr>
            <w:tcW w:w="9072" w:type="dxa"/>
          </w:tcPr>
          <w:p w:rsidR="006E24A3" w:rsidRDefault="006E24A3">
            <w:pPr>
              <w:pBdr>
                <w:top w:val="nil"/>
                <w:left w:val="nil"/>
                <w:bottom w:val="nil"/>
                <w:right w:val="nil"/>
                <w:between w:val="nil"/>
              </w:pBdr>
              <w:rPr>
                <w:rFonts w:ascii="Arial" w:eastAsia="Arial" w:hAnsi="Arial" w:cs="Arial"/>
                <w:sz w:val="20"/>
                <w:szCs w:val="20"/>
              </w:rPr>
            </w:pPr>
          </w:p>
          <w:p w:rsidR="006E24A3" w:rsidRDefault="00000000">
            <w:pPr>
              <w:pBdr>
                <w:top w:val="nil"/>
                <w:left w:val="nil"/>
                <w:bottom w:val="nil"/>
                <w:right w:val="nil"/>
                <w:between w:val="nil"/>
              </w:pBdr>
              <w:rPr>
                <w:rFonts w:ascii="Arial" w:eastAsia="Arial" w:hAnsi="Arial" w:cs="Arial"/>
                <w:sz w:val="20"/>
                <w:szCs w:val="20"/>
              </w:rPr>
            </w:pPr>
            <w:r>
              <w:rPr>
                <w:rFonts w:ascii="Arial" w:eastAsia="Arial" w:hAnsi="Arial" w:cs="Arial"/>
                <w:color w:val="000000"/>
                <w:sz w:val="20"/>
                <w:szCs w:val="20"/>
              </w:rPr>
              <w:t>Two presentations are scheduled for the upcoming board meeting. The first will cover housing numbers, while the second will provide an update on the master plan.</w:t>
            </w:r>
          </w:p>
        </w:tc>
        <w:tc>
          <w:tcPr>
            <w:tcW w:w="963" w:type="dxa"/>
          </w:tcPr>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 </w:t>
            </w: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tc>
      </w:tr>
      <w:tr w:rsidR="006E24A3">
        <w:trPr>
          <w:trHeight w:val="147"/>
        </w:trPr>
        <w:tc>
          <w:tcPr>
            <w:tcW w:w="851" w:type="dxa"/>
          </w:tcPr>
          <w:p w:rsidR="006E24A3" w:rsidRDefault="00000000">
            <w:pPr>
              <w:rPr>
                <w:rFonts w:ascii="Arial" w:eastAsia="Arial" w:hAnsi="Arial" w:cs="Arial"/>
                <w:b/>
                <w:color w:val="000000"/>
                <w:sz w:val="20"/>
                <w:szCs w:val="20"/>
              </w:rPr>
            </w:pPr>
            <w:r>
              <w:rPr>
                <w:rFonts w:ascii="Arial" w:eastAsia="Arial" w:hAnsi="Arial" w:cs="Arial"/>
                <w:b/>
                <w:sz w:val="20"/>
                <w:szCs w:val="20"/>
              </w:rPr>
              <w:t>5</w:t>
            </w:r>
            <w:r>
              <w:rPr>
                <w:rFonts w:ascii="Arial" w:eastAsia="Arial" w:hAnsi="Arial" w:cs="Arial"/>
                <w:b/>
                <w:color w:val="000000"/>
                <w:sz w:val="20"/>
                <w:szCs w:val="20"/>
              </w:rPr>
              <w:t>.0</w:t>
            </w:r>
          </w:p>
        </w:tc>
        <w:tc>
          <w:tcPr>
            <w:tcW w:w="9072" w:type="dxa"/>
          </w:tcPr>
          <w:p w:rsidR="006E24A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Partner Updates</w:t>
            </w:r>
          </w:p>
        </w:tc>
        <w:tc>
          <w:tcPr>
            <w:tcW w:w="963" w:type="dxa"/>
          </w:tcPr>
          <w:p w:rsidR="006E24A3" w:rsidRDefault="006E24A3">
            <w:pPr>
              <w:rPr>
                <w:rFonts w:ascii="Arial" w:eastAsia="Arial" w:hAnsi="Arial" w:cs="Arial"/>
                <w:b/>
                <w:color w:val="000000"/>
                <w:sz w:val="20"/>
                <w:szCs w:val="20"/>
              </w:rPr>
            </w:pPr>
          </w:p>
        </w:tc>
      </w:tr>
      <w:tr w:rsidR="006E24A3">
        <w:trPr>
          <w:trHeight w:val="856"/>
        </w:trPr>
        <w:tc>
          <w:tcPr>
            <w:tcW w:w="851" w:type="dxa"/>
          </w:tcPr>
          <w:p w:rsidR="006E24A3" w:rsidRDefault="006E24A3">
            <w:pPr>
              <w:rPr>
                <w:rFonts w:ascii="Arial" w:eastAsia="Arial" w:hAnsi="Arial" w:cs="Arial"/>
                <w:b/>
                <w:color w:val="000000"/>
                <w:sz w:val="20"/>
                <w:szCs w:val="20"/>
              </w:rPr>
            </w:pPr>
          </w:p>
        </w:tc>
        <w:tc>
          <w:tcPr>
            <w:tcW w:w="9072" w:type="dxa"/>
          </w:tcPr>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AG gave the NHG update:</w:t>
            </w:r>
            <w:r>
              <w:rPr>
                <w:rFonts w:ascii="Arial" w:eastAsia="Arial" w:hAnsi="Arial" w:cs="Arial"/>
                <w:color w:val="000000"/>
                <w:sz w:val="20"/>
                <w:szCs w:val="20"/>
              </w:rPr>
              <w:t xml:space="preserve"> AG provided an update on various issues discussed in the recent Round Table meeting. He mentioned the community events planned for 2024, including the Fun Day in June, the Hidden River Festival in September, and Winterfest in December. Regarding the WGN sewage system, he stated that the pumps are expected to be installed by the end of May, which is a positive development. He also noted progress made on issues related to billing, service charges, and mechanical and electrical (M&amp;E) issues, attributing it to the fortnightly meetings held internally across departments. </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WS raised a question about the resurfacing of pathways once the pump installation is complete. He expressed concerns about the state of the ground and the need for landscape restoration after years of ongoing problems. AG assured that NHG would be responsible for reinstatement and safety measures, and committed to reviewing past promises made in this regard.</w:t>
            </w: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 provided an update on the relaying of the resident path in KSS2, stating that Berkeley will be responsible for carrying out the work. He clarified that the issue with the path's movement is not related to drainage, as the drainage system has been surveyed and deemed intact. However, an investigation conducted by Berkeley and Hackney revealed a problem with the stability of the subbase of the path. TH confirmed that they have placed an order for the relaying of the path, which is currently in progress and expected to be completed within the next three weeks. They were waiting for NHG to finish the WGN sewage works before proceeding further.</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TH gave the BH update:</w:t>
            </w:r>
            <w:r>
              <w:rPr>
                <w:rFonts w:ascii="Arial" w:eastAsia="Arial" w:hAnsi="Arial" w:cs="Arial"/>
                <w:color w:val="000000"/>
                <w:sz w:val="20"/>
                <w:szCs w:val="20"/>
              </w:rPr>
              <w:t xml:space="preserve"> TH reported that they </w:t>
            </w:r>
            <w:r>
              <w:rPr>
                <w:rFonts w:ascii="Arial" w:eastAsia="Arial" w:hAnsi="Arial" w:cs="Arial"/>
                <w:sz w:val="20"/>
                <w:szCs w:val="20"/>
              </w:rPr>
              <w:t>sent</w:t>
            </w:r>
            <w:r>
              <w:rPr>
                <w:rFonts w:ascii="Arial" w:eastAsia="Arial" w:hAnsi="Arial" w:cs="Arial"/>
                <w:color w:val="000000"/>
                <w:sz w:val="20"/>
                <w:szCs w:val="20"/>
              </w:rPr>
              <w:t xml:space="preserve"> a note to all partners explaining the necessity of working on the bank holiday weekend recently for Phase 3 works, which involved dismantling scaffolding to assist Thames Water with their external connection. He assured that everyone was kept updated, and the works were successfully carried out. They are now ahead of schedule, and the water connection is expected to take place within the next three weeks. </w:t>
            </w:r>
          </w:p>
          <w:p w:rsidR="00AE6D85" w:rsidRDefault="00AE6D85">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Berkeley met with Hackney Works to discuss organising a local labour fair around mid-June. </w:t>
            </w: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 also reported that Berkeley aims to submit the Phase 4 planning application to the planning sub-committee in the coming weeks.</w:t>
            </w:r>
          </w:p>
          <w:p w:rsidR="006E24A3" w:rsidRDefault="006E24A3">
            <w:pPr>
              <w:pBdr>
                <w:top w:val="nil"/>
                <w:left w:val="nil"/>
                <w:bottom w:val="nil"/>
                <w:right w:val="nil"/>
                <w:between w:val="nil"/>
              </w:pBdr>
              <w:rPr>
                <w:rFonts w:ascii="Arial" w:eastAsia="Arial" w:hAnsi="Arial" w:cs="Arial"/>
                <w:color w:val="000000"/>
                <w:sz w:val="20"/>
                <w:szCs w:val="20"/>
              </w:rPr>
            </w:pPr>
          </w:p>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HB gave the LBH update: </w:t>
            </w:r>
            <w:r>
              <w:rPr>
                <w:rFonts w:ascii="Arial" w:eastAsia="Arial" w:hAnsi="Arial" w:cs="Arial"/>
                <w:color w:val="000000"/>
                <w:sz w:val="20"/>
                <w:szCs w:val="20"/>
              </w:rPr>
              <w:t xml:space="preserve">HB provided an update on their ongoing efforts concerning Phase 4 and the process of obtaining vacant possession, emphasising their active engagement with leaseholders. </w:t>
            </w:r>
            <w:r w:rsidR="007351D2">
              <w:rPr>
                <w:rFonts w:ascii="Arial" w:eastAsia="Arial" w:hAnsi="Arial" w:cs="Arial"/>
                <w:color w:val="000000"/>
                <w:sz w:val="20"/>
                <w:szCs w:val="20"/>
              </w:rPr>
              <w:t>S</w:t>
            </w:r>
            <w:r>
              <w:rPr>
                <w:rFonts w:ascii="Arial" w:eastAsia="Arial" w:hAnsi="Arial" w:cs="Arial"/>
                <w:color w:val="000000"/>
                <w:sz w:val="20"/>
                <w:szCs w:val="20"/>
              </w:rPr>
              <w:t xml:space="preserve">he </w:t>
            </w:r>
            <w:r w:rsidR="007351D2">
              <w:rPr>
                <w:rFonts w:ascii="Arial" w:eastAsia="Arial" w:hAnsi="Arial" w:cs="Arial"/>
                <w:color w:val="000000"/>
                <w:sz w:val="20"/>
                <w:szCs w:val="20"/>
              </w:rPr>
              <w:t xml:space="preserve">also </w:t>
            </w:r>
            <w:r>
              <w:rPr>
                <w:rFonts w:ascii="Arial" w:eastAsia="Arial" w:hAnsi="Arial" w:cs="Arial"/>
                <w:color w:val="000000"/>
                <w:sz w:val="20"/>
                <w:szCs w:val="20"/>
              </w:rPr>
              <w:t>noted their ongoing work on drafting terms for Block D.</w:t>
            </w:r>
          </w:p>
          <w:p w:rsidR="006E24A3" w:rsidRDefault="006E24A3">
            <w:pPr>
              <w:pBdr>
                <w:top w:val="nil"/>
                <w:left w:val="nil"/>
                <w:bottom w:val="nil"/>
                <w:right w:val="nil"/>
                <w:between w:val="nil"/>
              </w:pBdr>
              <w:rPr>
                <w:rFonts w:ascii="Arial" w:eastAsia="Arial" w:hAnsi="Arial" w:cs="Arial"/>
                <w:sz w:val="20"/>
                <w:szCs w:val="20"/>
              </w:rPr>
            </w:pPr>
          </w:p>
        </w:tc>
        <w:tc>
          <w:tcPr>
            <w:tcW w:w="963" w:type="dxa"/>
          </w:tcPr>
          <w:p w:rsidR="006E24A3" w:rsidRDefault="006E24A3">
            <w:pPr>
              <w:jc w:val="cente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sz w:val="20"/>
                <w:szCs w:val="20"/>
              </w:rPr>
            </w:pPr>
          </w:p>
          <w:p w:rsidR="006E24A3" w:rsidRDefault="006E24A3">
            <w:pPr>
              <w:rPr>
                <w:rFonts w:ascii="Arial" w:eastAsia="Arial" w:hAnsi="Arial" w:cs="Arial"/>
                <w:b/>
                <w:color w:val="000000"/>
                <w:sz w:val="20"/>
                <w:szCs w:val="20"/>
              </w:rPr>
            </w:pPr>
          </w:p>
        </w:tc>
      </w:tr>
      <w:tr w:rsidR="006E24A3">
        <w:trPr>
          <w:trHeight w:val="368"/>
        </w:trPr>
        <w:tc>
          <w:tcPr>
            <w:tcW w:w="851" w:type="dxa"/>
          </w:tcPr>
          <w:p w:rsidR="006E24A3" w:rsidRDefault="00000000">
            <w:pPr>
              <w:rPr>
                <w:rFonts w:ascii="Arial" w:eastAsia="Arial" w:hAnsi="Arial" w:cs="Arial"/>
                <w:b/>
                <w:color w:val="000000"/>
                <w:sz w:val="20"/>
                <w:szCs w:val="20"/>
              </w:rPr>
            </w:pPr>
            <w:r>
              <w:rPr>
                <w:rFonts w:ascii="Arial" w:eastAsia="Arial" w:hAnsi="Arial" w:cs="Arial"/>
                <w:b/>
                <w:color w:val="000000"/>
                <w:sz w:val="20"/>
                <w:szCs w:val="20"/>
              </w:rPr>
              <w:t>6.0</w:t>
            </w:r>
          </w:p>
        </w:tc>
        <w:tc>
          <w:tcPr>
            <w:tcW w:w="9072" w:type="dxa"/>
          </w:tcPr>
          <w:p w:rsidR="006E24A3" w:rsidRDefault="00000000">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AOB </w:t>
            </w:r>
          </w:p>
        </w:tc>
        <w:tc>
          <w:tcPr>
            <w:tcW w:w="963" w:type="dxa"/>
          </w:tcPr>
          <w:p w:rsidR="006E24A3" w:rsidRDefault="006E24A3">
            <w:pPr>
              <w:rPr>
                <w:rFonts w:ascii="Arial" w:eastAsia="Arial" w:hAnsi="Arial" w:cs="Arial"/>
                <w:b/>
                <w:color w:val="000000"/>
                <w:sz w:val="20"/>
                <w:szCs w:val="20"/>
              </w:rPr>
            </w:pPr>
          </w:p>
        </w:tc>
      </w:tr>
      <w:tr w:rsidR="006E24A3">
        <w:trPr>
          <w:trHeight w:val="734"/>
        </w:trPr>
        <w:tc>
          <w:tcPr>
            <w:tcW w:w="851" w:type="dxa"/>
          </w:tcPr>
          <w:p w:rsidR="006E24A3" w:rsidRDefault="006E24A3">
            <w:pPr>
              <w:rPr>
                <w:rFonts w:ascii="Arial" w:eastAsia="Arial" w:hAnsi="Arial" w:cs="Arial"/>
                <w:b/>
                <w:color w:val="000000"/>
                <w:sz w:val="20"/>
                <w:szCs w:val="20"/>
              </w:rPr>
            </w:pPr>
          </w:p>
        </w:tc>
        <w:tc>
          <w:tcPr>
            <w:tcW w:w="9072" w:type="dxa"/>
          </w:tcPr>
          <w:p w:rsidR="006E24A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w:t>
            </w:r>
            <w:r>
              <w:rPr>
                <w:rFonts w:ascii="Arial" w:eastAsia="Arial" w:hAnsi="Arial" w:cs="Arial"/>
                <w:sz w:val="20"/>
                <w:szCs w:val="20"/>
              </w:rPr>
              <w:t>H</w:t>
            </w:r>
            <w:r>
              <w:rPr>
                <w:rFonts w:ascii="Arial" w:eastAsia="Arial" w:hAnsi="Arial" w:cs="Arial"/>
                <w:color w:val="000000"/>
                <w:sz w:val="20"/>
                <w:szCs w:val="20"/>
              </w:rPr>
              <w:t xml:space="preserve"> requested an update on the partnership agreement and inquired about the document LBH was working on, which contains proposed changes from all the partners and was intended to be shared with the WDCO Executive Committee. H</w:t>
            </w:r>
            <w:r>
              <w:rPr>
                <w:rFonts w:ascii="Arial" w:eastAsia="Arial" w:hAnsi="Arial" w:cs="Arial"/>
                <w:sz w:val="20"/>
                <w:szCs w:val="20"/>
              </w:rPr>
              <w:t>B</w:t>
            </w:r>
            <w:r>
              <w:rPr>
                <w:rFonts w:ascii="Arial" w:eastAsia="Arial" w:hAnsi="Arial" w:cs="Arial"/>
                <w:color w:val="000000"/>
                <w:sz w:val="20"/>
                <w:szCs w:val="20"/>
              </w:rPr>
              <w:t xml:space="preserve"> noted that it is being reviewed by the Regen team, and she will provide a timeframe for when this will be shared.</w:t>
            </w:r>
          </w:p>
        </w:tc>
        <w:tc>
          <w:tcPr>
            <w:tcW w:w="963" w:type="dxa"/>
          </w:tcPr>
          <w:p w:rsidR="006E24A3" w:rsidRDefault="006E24A3">
            <w:pPr>
              <w:jc w:val="cente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6E24A3">
            <w:pPr>
              <w:rPr>
                <w:rFonts w:ascii="Arial" w:eastAsia="Arial" w:hAnsi="Arial" w:cs="Arial"/>
                <w:b/>
                <w:color w:val="000000"/>
                <w:sz w:val="20"/>
                <w:szCs w:val="20"/>
              </w:rPr>
            </w:pPr>
          </w:p>
          <w:p w:rsidR="006E24A3" w:rsidRDefault="00000000">
            <w:pPr>
              <w:rPr>
                <w:rFonts w:ascii="Arial" w:eastAsia="Arial" w:hAnsi="Arial" w:cs="Arial"/>
                <w:b/>
                <w:color w:val="000000"/>
                <w:sz w:val="20"/>
                <w:szCs w:val="20"/>
              </w:rPr>
            </w:pPr>
            <w:r>
              <w:rPr>
                <w:rFonts w:ascii="Arial" w:eastAsia="Arial" w:hAnsi="Arial" w:cs="Arial"/>
                <w:b/>
                <w:color w:val="000000"/>
                <w:sz w:val="20"/>
                <w:szCs w:val="20"/>
              </w:rPr>
              <w:t xml:space="preserve">LBH </w:t>
            </w:r>
          </w:p>
        </w:tc>
      </w:tr>
    </w:tbl>
    <w:p w:rsidR="006E24A3" w:rsidRDefault="006E24A3">
      <w:pPr>
        <w:rPr>
          <w:rFonts w:ascii="Arial" w:eastAsia="Arial" w:hAnsi="Arial" w:cs="Arial"/>
        </w:rPr>
      </w:pPr>
    </w:p>
    <w:sectPr w:rsidR="006E24A3">
      <w:headerReference w:type="default" r:id="rId7"/>
      <w:footerReference w:type="even" r:id="rId8"/>
      <w:footerReference w:type="default" r:id="rId9"/>
      <w:pgSz w:w="11906" w:h="16838"/>
      <w:pgMar w:top="1134"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378F" w:rsidRDefault="0021378F">
      <w:r>
        <w:separator/>
      </w:r>
    </w:p>
  </w:endnote>
  <w:endnote w:type="continuationSeparator" w:id="0">
    <w:p w:rsidR="0021378F" w:rsidRDefault="0021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4A3" w:rsidRDefault="00000000">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rsidR="006E24A3" w:rsidRDefault="006E24A3">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4A3"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242BC8">
      <w:rPr>
        <w:noProof/>
        <w:color w:val="000000"/>
      </w:rPr>
      <w:t>1</w:t>
    </w:r>
    <w:r>
      <w:rPr>
        <w:color w:val="000000"/>
      </w:rPr>
      <w:fldChar w:fldCharType="end"/>
    </w:r>
  </w:p>
  <w:p w:rsidR="006E24A3" w:rsidRDefault="006E24A3">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378F" w:rsidRDefault="0021378F">
      <w:r>
        <w:separator/>
      </w:r>
    </w:p>
  </w:footnote>
  <w:footnote w:type="continuationSeparator" w:id="0">
    <w:p w:rsidR="0021378F" w:rsidRDefault="0021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4A3"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242BC8">
      <w:rPr>
        <w:noProof/>
        <w:color w:val="000000"/>
      </w:rPr>
      <w:t>1</w:t>
    </w:r>
    <w:r>
      <w:rPr>
        <w:color w:val="000000"/>
      </w:rPr>
      <w:fldChar w:fldCharType="end"/>
    </w:r>
  </w:p>
  <w:p w:rsidR="006E24A3" w:rsidRDefault="006E24A3">
    <w:pPr>
      <w:pBdr>
        <w:top w:val="nil"/>
        <w:left w:val="nil"/>
        <w:bottom w:val="nil"/>
        <w:right w:val="nil"/>
        <w:between w:val="nil"/>
      </w:pBdr>
      <w:tabs>
        <w:tab w:val="center" w:pos="4153"/>
        <w:tab w:val="right" w:pos="830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4A3"/>
    <w:rsid w:val="0021378F"/>
    <w:rsid w:val="00242BC8"/>
    <w:rsid w:val="00242FA8"/>
    <w:rsid w:val="006E24A3"/>
    <w:rsid w:val="007351D2"/>
    <w:rsid w:val="00AE6D85"/>
    <w:rsid w:val="00AF30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88D3AFE"/>
  <w15:docId w15:val="{7756AFD4-FF76-F247-A9A6-4E0A49EA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Roda Hassan</cp:lastModifiedBy>
  <cp:revision>2</cp:revision>
  <dcterms:created xsi:type="dcterms:W3CDTF">2024-05-02T16:54:00Z</dcterms:created>
  <dcterms:modified xsi:type="dcterms:W3CDTF">2024-05-02T16:54:00Z</dcterms:modified>
</cp:coreProperties>
</file>